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eastAsia="Times New Roman" w:hAnsi="Work Sans" w:cs="Times New Roman"/>
          <w:sz w:val="18"/>
          <w:szCs w:val="18"/>
          <w:lang w:val="pt-BR" w:eastAsia="es-ES"/>
        </w:rPr>
        <w:t>Acceso: Reservado (ac_res), Público (ac_pub), Clasificado (ac_cla).</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r>
        <w:rPr>
          <w:rFonts w:ascii="Work Sans" w:hAnsi="Work Sans" w:cs="Arial"/>
          <w:sz w:val="24"/>
          <w:szCs w:val="24"/>
        </w:rPr>
        <w:t>nombredestinatario</w:t>
      </w:r>
      <w:r>
        <w:rPr>
          <w:rFonts w:ascii="Work Sans" w:hAnsi="Work Sans" w:cs="Arial"/>
          <w:sz w:val="24"/>
          <w:szCs w:val="24"/>
        </w:rPr>
        <w:br/>
        <w:t>dptodestinatario</w:t>
      </w:r>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t>dptoremitente</w:t>
      </w:r>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77777777" w:rsidR="00AF21D9" w:rsidRDefault="00AF21D9" w:rsidP="00AF21D9">
      <w:pPr>
        <w:spacing w:line="240" w:lineRule="auto"/>
        <w:ind w:right="51"/>
        <w:contextualSpacing/>
        <w:rPr>
          <w:rFonts w:ascii="Work Sans" w:hAnsi="Work Sans" w:cs="Arial"/>
          <w:sz w:val="24"/>
          <w:szCs w:val="24"/>
        </w:rPr>
      </w:pPr>
      <w:r>
        <w:rPr>
          <w:rFonts w:ascii="Work Sans" w:hAnsi="Work Sans" w:cs="Arial"/>
          <w:b/>
          <w:sz w:val="24"/>
          <w:szCs w:val="24"/>
        </w:rPr>
        <w:t>ASUNTO:</w:t>
      </w:r>
      <w:r>
        <w:rPr>
          <w:rFonts w:ascii="Work Sans" w:hAnsi="Work Sans" w:cs="Arial"/>
          <w:sz w:val="24"/>
          <w:szCs w:val="24"/>
        </w:rPr>
        <w:tab/>
        <w:t>r_asunto</w:t>
      </w:r>
    </w:p>
    <w:p w14:paraId="71B5BF55" w14:textId="77777777" w:rsidR="00AF21D9" w:rsidRDefault="00AF21D9" w:rsidP="00AF21D9">
      <w:pPr>
        <w:spacing w:line="240" w:lineRule="auto"/>
        <w:ind w:right="51"/>
        <w:contextualSpacing/>
        <w:jc w:val="both"/>
        <w:rPr>
          <w:rFonts w:ascii="Work Sans" w:hAnsi="Work Sans" w:cs="Arial"/>
          <w:sz w:val="24"/>
          <w:szCs w:val="24"/>
        </w:rPr>
      </w:pPr>
    </w:p>
    <w:p w14:paraId="2E7EB42B" w14:textId="77777777" w:rsidR="0030628E" w:rsidRDefault="0030628E" w:rsidP="0030628E">
      <w:pPr>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Respetado Ministro Palma,</w:t>
      </w:r>
    </w:p>
    <w:p w14:paraId="4DD2A126" w14:textId="77777777" w:rsidR="0030628E" w:rsidRDefault="0030628E" w:rsidP="0030628E">
      <w:pPr>
        <w:suppressAutoHyphens w:val="0"/>
        <w:spacing w:before="100" w:beforeAutospacing="1" w:after="100" w:afterAutospacing="1" w:line="240" w:lineRule="auto"/>
        <w:jc w:val="both"/>
        <w:rPr>
          <w:rFonts w:ascii="Work Sans" w:hAnsi="Work Sans" w:cs="Arial"/>
          <w:b/>
          <w:sz w:val="24"/>
        </w:rPr>
      </w:pPr>
      <w:r>
        <w:rPr>
          <w:rFonts w:ascii="Work Sans" w:hAnsi="Work Sans" w:cs="Arial"/>
          <w:sz w:val="24"/>
        </w:rPr>
        <w:t>A continuación, se presentan los principales avances, gestiones interinstitucionales y hallazgos relacionados con la implementación de los artículos 108 y 272 de la Ley 2294 de 2023, asociados a la reasignación de subsidios de energía eléctrica, medición inteligente, focalización de subsidios y actualización del consumo básico de subsistencia.</w:t>
      </w:r>
    </w:p>
    <w:p w14:paraId="247D0C3E" w14:textId="77777777" w:rsidR="0030628E" w:rsidRDefault="0030628E" w:rsidP="0030628E">
      <w:pPr>
        <w:suppressAutoHyphens w:val="0"/>
        <w:spacing w:before="100" w:beforeAutospacing="1" w:after="100" w:afterAutospacing="1" w:line="240" w:lineRule="auto"/>
        <w:ind w:left="708"/>
        <w:jc w:val="both"/>
        <w:rPr>
          <w:rFonts w:ascii="Work Sans" w:hAnsi="Work Sans" w:cs="Arial"/>
          <w:i/>
          <w:iCs/>
          <w:sz w:val="24"/>
          <w:szCs w:val="24"/>
        </w:rPr>
      </w:pPr>
      <w:r>
        <w:rPr>
          <w:rFonts w:ascii="Work Sans" w:hAnsi="Work Sans" w:cs="Arial"/>
          <w:b/>
          <w:bCs/>
          <w:sz w:val="24"/>
          <w:szCs w:val="24"/>
        </w:rPr>
        <w:t xml:space="preserve">1. </w:t>
      </w:r>
      <w:r>
        <w:rPr>
          <w:rFonts w:ascii="Work Sans" w:hAnsi="Work Sans" w:cs="Arial"/>
          <w:b/>
          <w:bCs/>
          <w:i/>
          <w:iCs/>
          <w:sz w:val="24"/>
          <w:szCs w:val="24"/>
        </w:rPr>
        <w:t>“ARTÍCULO 108.o. REASIGNACIÓN DE SUBSIDIOS DE ENERGÍA ELÉCTRICA PARA CUBRIR EL NIVEL DE CONSUMO INDISPENSABLE</w:t>
      </w:r>
      <w:r>
        <w:rPr>
          <w:rFonts w:ascii="Work Sans" w:hAnsi="Work Sans" w:cs="Arial"/>
          <w:i/>
          <w:iCs/>
          <w:sz w:val="24"/>
          <w:szCs w:val="24"/>
        </w:rPr>
        <w:t xml:space="preserve">. El Ministerio de Minas y Energía establecerá los criterios para la reasignación de subsidios de energía eléctrica definidos en las leyes 142 y 143 de 1994, para garantizar que el nivel de consumo indispensable de energía eléctrica de los usuarios en condiciones socioeconómicas vulnerables de los estratos 1 y 2 pueda ser cubierto. Esta reasignación estará sujeta al uso de tecnologías digitales de medición inteligente del consumo de energía eléctrica, en la medida en que se vaya implementando este esquema, y a la implementación de metodologías de focalización de subsidios que, mediante la mejora en los actuales errores de inclusión, permitan disponer de los recursos requeridos para cubrir el costo de esta medida. La Unidad de Planeación Minero Energética definirá el nivel de consumo </w:t>
      </w:r>
      <w:r>
        <w:rPr>
          <w:rFonts w:ascii="Work Sans" w:hAnsi="Work Sans" w:cs="Arial"/>
          <w:i/>
          <w:iCs/>
          <w:sz w:val="24"/>
          <w:szCs w:val="24"/>
        </w:rPr>
        <w:lastRenderedPageBreak/>
        <w:t xml:space="preserve">indispensable que requieren los usuarios en condiciones socioeconómicas vulnerables de los estratos 1 y 2 considerando las condiciones climáticas de las zonas en las que habitan los usuarios y las buenas prácticas para el consumo eficiente de energía. El nivel de consumo indispensable será descontado del consumo básico de subsistencia. </w:t>
      </w:r>
    </w:p>
    <w:p w14:paraId="6C4B6D67" w14:textId="77777777" w:rsidR="0030628E" w:rsidRDefault="0030628E" w:rsidP="0030628E">
      <w:pPr>
        <w:suppressAutoHyphens w:val="0"/>
        <w:spacing w:before="100" w:beforeAutospacing="1" w:after="100" w:afterAutospacing="1" w:line="240" w:lineRule="auto"/>
        <w:ind w:left="708"/>
        <w:jc w:val="both"/>
        <w:rPr>
          <w:rFonts w:ascii="Work Sans" w:hAnsi="Work Sans" w:cs="Arial"/>
          <w:i/>
          <w:iCs/>
          <w:sz w:val="24"/>
          <w:szCs w:val="24"/>
        </w:rPr>
      </w:pPr>
      <w:r>
        <w:rPr>
          <w:rFonts w:ascii="Work Sans" w:hAnsi="Work Sans" w:cs="Arial"/>
          <w:i/>
          <w:iCs/>
          <w:sz w:val="24"/>
          <w:szCs w:val="24"/>
        </w:rPr>
        <w:t>PARÁGRAFO. El subsidio del estrato 3 se mantiene hasta el 30 de junio de 2027.”</w:t>
      </w:r>
    </w:p>
    <w:p w14:paraId="24B1022E"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El artículo 108 del Plan Nacional de Desarrollo establece que el Ministerio de Minas y Energía deberá definir los criterios para la reasignación de subsidios de energía eléctrica, con el propósito de garantizar el cubrimiento del nivel de consumo indispensable de los usuarios en condiciones socioeconómicas vulnerables pertenecientes a los estratos 1 y 2.</w:t>
      </w:r>
    </w:p>
    <w:p w14:paraId="35AD58A2" w14:textId="77777777" w:rsidR="0030628E" w:rsidRDefault="0030628E" w:rsidP="0030628E">
      <w:pPr>
        <w:suppressAutoHyphens w:val="0"/>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 xml:space="preserve">No obstante, es importante precisar que para la implementación de esta disposición se requiere el desarrollo previo de actividades y definiciones técnicas cuya competencia recae en otras entidades del orden nacional, razón por la cual actualmente existen factores externos que impiden expedir la reglamentación por parte de este Ministerio. </w:t>
      </w:r>
    </w:p>
    <w:p w14:paraId="562E01FC"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sz w:val="24"/>
        </w:rPr>
      </w:pPr>
      <w:r>
        <w:rPr>
          <w:rFonts w:ascii="Work Sans" w:hAnsi="Work Sans" w:cs="Arial"/>
          <w:b/>
          <w:bCs/>
          <w:sz w:val="24"/>
        </w:rPr>
        <w:t>1.1</w:t>
      </w:r>
      <w:r>
        <w:rPr>
          <w:rFonts w:ascii="Work Sans" w:hAnsi="Work Sans" w:cs="Arial"/>
          <w:sz w:val="24"/>
        </w:rPr>
        <w:t xml:space="preserve"> </w:t>
      </w:r>
      <w:r>
        <w:rPr>
          <w:rFonts w:ascii="Work Sans" w:hAnsi="Work Sans" w:cs="Arial"/>
          <w:b/>
          <w:bCs/>
          <w:sz w:val="24"/>
        </w:rPr>
        <w:t>Implementación de medición inteligente</w:t>
      </w:r>
    </w:p>
    <w:p w14:paraId="3E0F1729" w14:textId="77777777" w:rsidR="0030628E" w:rsidRDefault="0030628E" w:rsidP="0030628E">
      <w:pPr>
        <w:suppressAutoHyphens w:val="0"/>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Uno de los requisitos previstos en el artículo corresponde al uso de tecnologías digitales de medición inteligente del consumo de energía eléctrica. En este sentido, el Ministerio ha adelantado solicitudes de información a los comercializadores de energía eléctrica del Sistema Interconectado Nacional (SIN) con el fin de identificar:</w:t>
      </w:r>
    </w:p>
    <w:p w14:paraId="63F847F9" w14:textId="77777777" w:rsidR="0030628E" w:rsidRDefault="0030628E" w:rsidP="0030628E">
      <w:pPr>
        <w:numPr>
          <w:ilvl w:val="0"/>
          <w:numId w:val="1"/>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cantidad de usuarios de estratos 1 y 2 que actualmente cuentan con medición inteligente. </w:t>
      </w:r>
    </w:p>
    <w:p w14:paraId="46EE119E" w14:textId="77777777" w:rsidR="0030628E" w:rsidRDefault="0030628E" w:rsidP="0030628E">
      <w:pPr>
        <w:numPr>
          <w:ilvl w:val="0"/>
          <w:numId w:val="1"/>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porcentaje de cobertura alcanzado. </w:t>
      </w:r>
    </w:p>
    <w:p w14:paraId="3626C566" w14:textId="77777777" w:rsidR="0030628E" w:rsidRDefault="0030628E" w:rsidP="0030628E">
      <w:pPr>
        <w:numPr>
          <w:ilvl w:val="0"/>
          <w:numId w:val="1"/>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ubicación geográfica de dichos usuarios. </w:t>
      </w:r>
    </w:p>
    <w:p w14:paraId="086F9C38" w14:textId="77777777" w:rsidR="0030628E" w:rsidRDefault="0030628E" w:rsidP="0030628E">
      <w:pPr>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lastRenderedPageBreak/>
        <w:t>La información recibida será objeto de revisión y análisis técnico, con el propósito de determinar el estado actual de implementación de esta infraestructura y evaluar su viabilidad como insumo para la eventual reasignación de subsidios.</w:t>
      </w:r>
    </w:p>
    <w:p w14:paraId="3CC8D2BB"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1.2 Definición del consumo indispensable por parte de la UPME</w:t>
      </w:r>
    </w:p>
    <w:p w14:paraId="7F492739" w14:textId="77777777" w:rsidR="0030628E" w:rsidRDefault="0030628E" w:rsidP="0030628E">
      <w:pPr>
        <w:suppressAutoHyphens w:val="0"/>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El artículo 108 establece que la Unidad de Planeación Minero Energética (UPME) deberá definir el nivel de consumo indispensable requerido por los usuarios vulnerables de los estratos 1 y 2, considerando las condiciones climáticas y las buenas prácticas de consumo eficiente de energía.</w:t>
      </w:r>
    </w:p>
    <w:p w14:paraId="3472A700"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Con el fin de conocer el estado de avance de esta obligación, se realizó una mesa de trabajo técnica con la UPME, en la cual dicha entidad presentó los principales resultados metodológicos y conceptuales derivados del estudio contratado para este propósito.</w:t>
      </w:r>
    </w:p>
    <w:p w14:paraId="2D7D770E"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La UPME informó que el estudio contempló, entre otros aspectos:</w:t>
      </w:r>
    </w:p>
    <w:p w14:paraId="414D1593" w14:textId="77777777" w:rsidR="0030628E" w:rsidRDefault="0030628E" w:rsidP="0030628E">
      <w:pPr>
        <w:numPr>
          <w:ilvl w:val="0"/>
          <w:numId w:val="2"/>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Aplicación de la pirámide de necesidades de Maslow para identificar consumos energéticos asociados a necesidades básicas. </w:t>
      </w:r>
    </w:p>
    <w:p w14:paraId="454178CD" w14:textId="77777777" w:rsidR="0030628E" w:rsidRDefault="0030628E" w:rsidP="0030628E">
      <w:pPr>
        <w:numPr>
          <w:ilvl w:val="0"/>
          <w:numId w:val="2"/>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Clasificación climática de municipios considerando temperatura y humedad relativa, con base en información del IDEAM. </w:t>
      </w:r>
    </w:p>
    <w:p w14:paraId="7BC4267D" w14:textId="77777777" w:rsidR="0030628E" w:rsidRDefault="0030628E" w:rsidP="0030628E">
      <w:pPr>
        <w:numPr>
          <w:ilvl w:val="0"/>
          <w:numId w:val="2"/>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Construcción de canastas de consumo energético utilizando equipos presentes en más del 50 % de los hogares. </w:t>
      </w:r>
    </w:p>
    <w:p w14:paraId="2F057755" w14:textId="77777777" w:rsidR="0030628E" w:rsidRDefault="0030628E" w:rsidP="0030628E">
      <w:pPr>
        <w:numPr>
          <w:ilvl w:val="0"/>
          <w:numId w:val="2"/>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Análisis diferenciado por estratos socioeconómicos, regiones y deciles de consumo. </w:t>
      </w:r>
    </w:p>
    <w:p w14:paraId="7FBFBD55" w14:textId="77777777" w:rsidR="0030628E" w:rsidRDefault="0030628E" w:rsidP="0030628E">
      <w:pPr>
        <w:numPr>
          <w:ilvl w:val="0"/>
          <w:numId w:val="2"/>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Evaluación de consumos asociados a equipos con etiquetas de eficiencia energética A, B y C. </w:t>
      </w:r>
    </w:p>
    <w:p w14:paraId="79CF74B0"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Asimismo, se indicó que el estudio fue elaborado utilizando información proveniente principalmente de:</w:t>
      </w:r>
    </w:p>
    <w:p w14:paraId="26BC8C3C" w14:textId="77777777" w:rsidR="0030628E" w:rsidRDefault="0030628E" w:rsidP="0030628E">
      <w:pPr>
        <w:numPr>
          <w:ilvl w:val="0"/>
          <w:numId w:val="3"/>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Encuesta Nacional de Calidad de Vida del DANE. </w:t>
      </w:r>
    </w:p>
    <w:p w14:paraId="2A5C9CDC" w14:textId="77777777" w:rsidR="0030628E" w:rsidRDefault="0030628E" w:rsidP="0030628E">
      <w:pPr>
        <w:numPr>
          <w:ilvl w:val="0"/>
          <w:numId w:val="3"/>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base de datos del Sistema Único de Información (SUI). </w:t>
      </w:r>
    </w:p>
    <w:p w14:paraId="3DFA6D34"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lastRenderedPageBreak/>
        <w:t>Igualmente, la UPME señaló que durante el desarrollo del análisis se identificaron inconsistencias y necesidades adicionales de validación de información, lo cual ha requerido procesos complementarios de revisión técnica.</w:t>
      </w:r>
    </w:p>
    <w:p w14:paraId="4B3C3018"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1.3 Principales resultados técnicos presentados</w:t>
      </w:r>
    </w:p>
    <w:p w14:paraId="5F0DD824"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Durante la sesión técnica se expusieron, entre otros, los siguientes hallazgos:</w:t>
      </w:r>
    </w:p>
    <w:p w14:paraId="3129CB99"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consumo básico de subsistencia (CBS) no corresponde al consumo total del hogar, debido a que no todos los usos energéticos son considerados esenciales. </w:t>
      </w:r>
    </w:p>
    <w:p w14:paraId="2B74835A"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Los umbrales actualmente vigentes son: </w:t>
      </w:r>
    </w:p>
    <w:p w14:paraId="2FDFD436" w14:textId="77777777" w:rsidR="0030628E" w:rsidRDefault="0030628E" w:rsidP="0030628E">
      <w:pPr>
        <w:numPr>
          <w:ilvl w:val="1"/>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173 kWh/mes para zonas ubicadas por debajo de 1.000 msnm. </w:t>
      </w:r>
    </w:p>
    <w:p w14:paraId="38DCDE27" w14:textId="77777777" w:rsidR="0030628E" w:rsidRDefault="0030628E" w:rsidP="0030628E">
      <w:pPr>
        <w:numPr>
          <w:ilvl w:val="1"/>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130 kWh/mes para zonas ubicadas por encima de 1.000 msnm. </w:t>
      </w:r>
    </w:p>
    <w:p w14:paraId="0C436366"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En climas fríos y templados, los consumos promedio se encuentran generalmente por debajo del CBS actual. </w:t>
      </w:r>
    </w:p>
    <w:p w14:paraId="104902BE"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En climas cálidos, especialmente en la región Caribe, los consumos promedio de los estratos 1, 2 y 3 superan los umbrales actuales de subsistencia, principalmente por el uso de ventilación y aire acondicionado. </w:t>
      </w:r>
    </w:p>
    <w:p w14:paraId="5BFAFFD3"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Entre el 60 % y el 88 % de los hogares, dependiendo de la zona climática, presentan consumos inferiores al umbral de subsistencia. </w:t>
      </w:r>
    </w:p>
    <w:p w14:paraId="47352276" w14:textId="77777777" w:rsidR="0030628E" w:rsidRDefault="0030628E" w:rsidP="0030628E">
      <w:pPr>
        <w:numPr>
          <w:ilvl w:val="0"/>
          <w:numId w:val="4"/>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análisis evidencia impactos fiscales significativos asociados a los subsidios actuales. </w:t>
      </w:r>
    </w:p>
    <w:p w14:paraId="5C77D66B"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1.4 Propuestas técnicas de actualización del CBS</w:t>
      </w:r>
    </w:p>
    <w:p w14:paraId="7C69A0A2"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La consultoría presentada por la UPME propuso escenarios de reducción gradual del consumo básico de subsistencia diferenciados por condiciones climáticas, entre ellos:</w:t>
      </w:r>
    </w:p>
    <w:p w14:paraId="7B4457EA" w14:textId="77777777" w:rsidR="0030628E" w:rsidRDefault="0030628E" w:rsidP="0030628E">
      <w:pPr>
        <w:numPr>
          <w:ilvl w:val="0"/>
          <w:numId w:val="5"/>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Clima frío: reducción de 130 kWh a 96 kWh. </w:t>
      </w:r>
    </w:p>
    <w:p w14:paraId="07EDAFF6" w14:textId="77777777" w:rsidR="0030628E" w:rsidRDefault="0030628E" w:rsidP="0030628E">
      <w:pPr>
        <w:numPr>
          <w:ilvl w:val="0"/>
          <w:numId w:val="5"/>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Clima templado: reducción de 130 kWh a 103 kWh. </w:t>
      </w:r>
    </w:p>
    <w:p w14:paraId="44841EE6"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Igualmente, se planteó una senda gradual de transición entre cuatro (4) y siete (7) años para la implementación de los nuevos umbrales.</w:t>
      </w:r>
    </w:p>
    <w:p w14:paraId="1BA22FAE"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lastRenderedPageBreak/>
        <w:t>La propuesta metodológica contempla que los potenciales beneficiarios del reconocimiento del consumo indispensable correspondan a usuarios de estratos 1 y 2 clasificados en categorías A, B y C.</w:t>
      </w:r>
    </w:p>
    <w:p w14:paraId="380BDCAF"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1.5 Limitaciones identificadas por la UPME</w:t>
      </w:r>
    </w:p>
    <w:p w14:paraId="3A1E0170"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La UPME manifestó que actualmente no se ha expedido resolución oficial para adoptar:</w:t>
      </w:r>
    </w:p>
    <w:p w14:paraId="2C29F3B0" w14:textId="77777777" w:rsidR="0030628E" w:rsidRDefault="0030628E" w:rsidP="0030628E">
      <w:pPr>
        <w:numPr>
          <w:ilvl w:val="0"/>
          <w:numId w:val="6"/>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valor definitivo del consumo indispensable. </w:t>
      </w:r>
    </w:p>
    <w:p w14:paraId="60768426" w14:textId="77777777" w:rsidR="0030628E" w:rsidRDefault="0030628E" w:rsidP="0030628E">
      <w:pPr>
        <w:numPr>
          <w:ilvl w:val="0"/>
          <w:numId w:val="6"/>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actualización del consumo básico de subsistencia. </w:t>
      </w:r>
    </w:p>
    <w:p w14:paraId="3DB87E25"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Lo anterior, debido principalmente a:</w:t>
      </w:r>
    </w:p>
    <w:p w14:paraId="69CC3133" w14:textId="77777777" w:rsidR="0030628E" w:rsidRDefault="0030628E" w:rsidP="0030628E">
      <w:pPr>
        <w:numPr>
          <w:ilvl w:val="0"/>
          <w:numId w:val="7"/>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Los impactos fiscales derivados de cualquier modificación. </w:t>
      </w:r>
    </w:p>
    <w:p w14:paraId="5988509C" w14:textId="77777777" w:rsidR="0030628E" w:rsidRDefault="0030628E" w:rsidP="0030628E">
      <w:pPr>
        <w:numPr>
          <w:ilvl w:val="0"/>
          <w:numId w:val="7"/>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posible reducción del valor subsidiado para algunos usuarios. </w:t>
      </w:r>
    </w:p>
    <w:p w14:paraId="5D895DC4" w14:textId="77777777" w:rsidR="0030628E" w:rsidRDefault="0030628E" w:rsidP="0030628E">
      <w:pPr>
        <w:numPr>
          <w:ilvl w:val="0"/>
          <w:numId w:val="7"/>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necesidad de coordinación interinstitucional entre entidades con competencias concurrentes. </w:t>
      </w:r>
    </w:p>
    <w:p w14:paraId="79DF1406" w14:textId="77777777" w:rsidR="0030628E" w:rsidRDefault="0030628E" w:rsidP="0030628E">
      <w:pPr>
        <w:suppressAutoHyphens w:val="0"/>
        <w:spacing w:before="100" w:beforeAutospacing="1" w:after="100" w:afterAutospacing="1" w:line="240" w:lineRule="auto"/>
        <w:jc w:val="both"/>
        <w:rPr>
          <w:rFonts w:ascii="Work Sans" w:hAnsi="Work Sans" w:cs="Arial"/>
          <w:i/>
          <w:sz w:val="24"/>
        </w:rPr>
      </w:pPr>
      <w:r>
        <w:rPr>
          <w:rFonts w:ascii="Work Sans" w:hAnsi="Work Sans" w:cs="Arial"/>
          <w:sz w:val="24"/>
        </w:rPr>
        <w:t>Adicionalmente, mediante radicado UPME 202601600122271 del 26 de mayo de 2026, dicha entidad considera lo siguiente: “</w:t>
      </w:r>
      <w:r>
        <w:rPr>
          <w:rFonts w:ascii="Work Sans" w:hAnsi="Work Sans" w:cs="Arial"/>
          <w:i/>
          <w:sz w:val="24"/>
        </w:rPr>
        <w:t>en el marco de sus funciones, que las responsabilidades que le fueron delegadas en los artículos 108 y 272 de la Ley 2294 de 2023, se han cumplido ya que con el estudio realizado se tiene una propuesta técnica y metodológica de definición del nivel de consumo indispensable, así como de la actualización del consumo básico de subsistencia. Es importante mencionar que la adopción del nivel de consumo indispensable, su implementación, y la actualización del consumo de subsistencia, requieren ser coordinada con otras entidades de gobierno que de una u otra forma tienen competencia sobre cualquier decisión que se llegue a tomar.”</w:t>
      </w:r>
    </w:p>
    <w:p w14:paraId="7E1012A0"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Con fundamento en lo anterior, actualmente no se cuenta con la totalidad de los insumos técnicos, operativos e institucionales necesarios para expedir la reglamentación prevista en el artículo 108 de la Ley 2294 de 2023.</w:t>
      </w:r>
    </w:p>
    <w:p w14:paraId="49A78C6B"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lastRenderedPageBreak/>
        <w:t>En particular, se encuentran pendientes definiciones relacionadas con la adopción oficial del nivel de consumo indispensable y la actualización del consumo básico de subsistencia por parte de la UPME, así como la evaluación de sus implicaciones fiscales, regulatorias y operativas y el análisis de las condiciones de implementación de la infraestructura de medición inteligente.</w:t>
      </w:r>
    </w:p>
    <w:p w14:paraId="3BC2CE4C"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En consecuencia, mientras no se encuentren definidos y adoptados dichos elementos y no se surtan las coordinaciones interinstitucionales requeridas, no resulta posible avanzar en la expedición de la reglamentación prevista en la citada disposición.</w:t>
      </w:r>
    </w:p>
    <w:p w14:paraId="3B7102E4" w14:textId="77777777" w:rsidR="0030628E" w:rsidRDefault="0030628E" w:rsidP="0030628E">
      <w:pPr>
        <w:shd w:val="clear" w:color="auto" w:fill="FFFFFF" w:themeFill="background1"/>
        <w:suppressAutoHyphens w:val="0"/>
        <w:spacing w:after="0" w:line="240" w:lineRule="auto"/>
        <w:ind w:left="708"/>
        <w:jc w:val="both"/>
        <w:textAlignment w:val="baseline"/>
        <w:rPr>
          <w:rFonts w:ascii="Work Sans" w:hAnsi="Work Sans" w:cs="Arial"/>
          <w:i/>
          <w:iCs/>
          <w:sz w:val="24"/>
          <w:szCs w:val="24"/>
        </w:rPr>
      </w:pPr>
      <w:r>
        <w:rPr>
          <w:rFonts w:ascii="Work Sans" w:hAnsi="Work Sans" w:cs="Arial"/>
          <w:sz w:val="24"/>
          <w:szCs w:val="24"/>
        </w:rPr>
        <w:t xml:space="preserve">2. </w:t>
      </w:r>
      <w:r>
        <w:rPr>
          <w:rFonts w:ascii="Work Sans" w:hAnsi="Work Sans" w:cs="Arial"/>
          <w:b/>
          <w:bCs/>
          <w:i/>
          <w:iCs/>
          <w:sz w:val="24"/>
          <w:szCs w:val="24"/>
        </w:rPr>
        <w:t>“ARTÍCULO 272.o. SUBSIDIOS DE ENERGÍA ELÉCTRICA, GAS, ACUEDUCTO, ALCANTARILLADO Y ASEO</w:t>
      </w:r>
      <w:r>
        <w:rPr>
          <w:rFonts w:ascii="Work Sans" w:hAnsi="Work Sans" w:cs="Arial"/>
          <w:i/>
          <w:iCs/>
          <w:sz w:val="24"/>
          <w:szCs w:val="24"/>
        </w:rPr>
        <w:t xml:space="preserve">. Los subsidios establecidos para energía eléctrica y gas combustible en el artículo 3 de la Ley 1117 de 2006, prorrogados por los artículos 1 de la Ley 1428 de 2010, 76 de la Ley 1739 de 2014, 17 de la Ley 1753 de 2015, y 297 de la Ley 1955 de 2019 se prorrogan como máximo, hasta el 30 de junio de 2027. </w:t>
      </w:r>
    </w:p>
    <w:p w14:paraId="7988B107" w14:textId="77777777" w:rsidR="0030628E" w:rsidRDefault="0030628E" w:rsidP="0030628E">
      <w:pPr>
        <w:shd w:val="clear" w:color="auto" w:fill="FFFFFF" w:themeFill="background1"/>
        <w:suppressAutoHyphens w:val="0"/>
        <w:spacing w:after="0" w:line="240" w:lineRule="auto"/>
        <w:ind w:left="708"/>
        <w:jc w:val="both"/>
        <w:textAlignment w:val="baseline"/>
        <w:rPr>
          <w:rFonts w:ascii="Work Sans" w:hAnsi="Work Sans" w:cs="Arial"/>
          <w:i/>
          <w:iCs/>
          <w:sz w:val="24"/>
          <w:szCs w:val="24"/>
        </w:rPr>
      </w:pPr>
    </w:p>
    <w:p w14:paraId="0BFC4F55" w14:textId="77777777" w:rsidR="0030628E" w:rsidRDefault="0030628E" w:rsidP="0030628E">
      <w:pPr>
        <w:shd w:val="clear" w:color="auto" w:fill="FFFFFF" w:themeFill="background1"/>
        <w:suppressAutoHyphens w:val="0"/>
        <w:spacing w:after="0" w:line="240" w:lineRule="auto"/>
        <w:ind w:left="708"/>
        <w:jc w:val="both"/>
        <w:textAlignment w:val="baseline"/>
        <w:rPr>
          <w:rFonts w:ascii="Work Sans" w:hAnsi="Work Sans" w:cs="Arial"/>
          <w:i/>
          <w:iCs/>
          <w:sz w:val="24"/>
          <w:szCs w:val="24"/>
        </w:rPr>
      </w:pPr>
      <w:r>
        <w:rPr>
          <w:rFonts w:ascii="Work Sans" w:hAnsi="Work Sans" w:cs="Arial"/>
          <w:i/>
          <w:iCs/>
          <w:sz w:val="24"/>
          <w:szCs w:val="24"/>
        </w:rPr>
        <w:t xml:space="preserve">PARÁGRAFO PRIMERO. Para otorgar subsidios de energía eléctrica, gas combustible, acueducto, alcantarillado y aseo a los usuarios de menores ingresos, se implementarán medidas que permitan el cruce entre la estratificación y la información socioeconómica de los usuarios como parámetro de focalización del subsidio, definiendo un periodo de transición y una diferenciación por tipos de municipios para la aplicación de dichas medidas y sentar las bases para ajustar la focalización de los subsidios con la metodología que considere la capacidad de pago de las personas y que, para el efecto, defina el Gobierno Nacional. </w:t>
      </w:r>
    </w:p>
    <w:p w14:paraId="697C3808" w14:textId="77777777" w:rsidR="0030628E" w:rsidRDefault="0030628E" w:rsidP="0030628E">
      <w:pPr>
        <w:suppressAutoHyphens w:val="0"/>
        <w:spacing w:before="100" w:beforeAutospacing="1" w:after="100" w:afterAutospacing="1" w:line="240" w:lineRule="auto"/>
        <w:ind w:left="708"/>
        <w:jc w:val="both"/>
        <w:outlineLvl w:val="0"/>
        <w:rPr>
          <w:rFonts w:ascii="Work Sans" w:hAnsi="Work Sans" w:cs="Arial"/>
          <w:sz w:val="24"/>
          <w:szCs w:val="24"/>
        </w:rPr>
      </w:pPr>
      <w:r>
        <w:rPr>
          <w:rFonts w:ascii="Work Sans" w:hAnsi="Work Sans" w:cs="Arial"/>
          <w:i/>
          <w:iCs/>
          <w:sz w:val="24"/>
          <w:szCs w:val="24"/>
        </w:rPr>
        <w:t>PARÁGRAFO SEGUNDO. Para el caso del subsidio de energía eléctrica la Unidad de Planeación Minero Energética (UPME), en un plazo no mayor a un (1) año, deberá efectuar los estudios para modificar el consumo básico de subsistencia, considerando las necesidades energéticas de los usuarios en las diferentes regiones del país."</w:t>
      </w:r>
    </w:p>
    <w:p w14:paraId="5D7E8809"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lastRenderedPageBreak/>
        <w:t>2.1 Implementación del nuevo esquema de focalización – Registro Universal de Ingresos (RUI)</w:t>
      </w:r>
    </w:p>
    <w:p w14:paraId="5A35A825" w14:textId="77777777" w:rsidR="0030628E" w:rsidRDefault="0030628E" w:rsidP="0030628E">
      <w:pPr>
        <w:suppressAutoHyphens w:val="0"/>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La implementación del parágrafo primero depende directamente de las actividades adelantadas por el Departamento Nacional de Planeación (DNP), entidad responsable de administrar el nuevo modelo de focalización denominado Registro Universal de Ingresos (RUI) tal como lo establece el artículo 70 de la Ley 2294 de 2023.</w:t>
      </w:r>
    </w:p>
    <w:p w14:paraId="57807C57" w14:textId="77777777" w:rsidR="0030628E" w:rsidRDefault="0030628E" w:rsidP="0030628E">
      <w:pPr>
        <w:suppressAutoHyphens w:val="0"/>
        <w:spacing w:before="100" w:beforeAutospacing="1" w:after="100" w:afterAutospacing="1" w:line="240" w:lineRule="auto"/>
        <w:jc w:val="both"/>
        <w:rPr>
          <w:rFonts w:ascii="Work Sans" w:hAnsi="Work Sans" w:cs="Arial"/>
          <w:sz w:val="24"/>
          <w:szCs w:val="24"/>
        </w:rPr>
      </w:pPr>
      <w:r>
        <w:rPr>
          <w:rFonts w:ascii="Work Sans" w:hAnsi="Work Sans" w:cs="Arial"/>
          <w:sz w:val="24"/>
          <w:szCs w:val="24"/>
        </w:rPr>
        <w:t>Así las cosas, este Ministerio ha solicitado formalmente información sobre los avances de este proceso mediante los radicados:</w:t>
      </w:r>
    </w:p>
    <w:p w14:paraId="772EFAD5" w14:textId="77777777" w:rsidR="0030628E" w:rsidRDefault="0030628E" w:rsidP="0030628E">
      <w:pPr>
        <w:numPr>
          <w:ilvl w:val="0"/>
          <w:numId w:val="8"/>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2-2026-008358 del 13 de marzo de 2026. </w:t>
      </w:r>
    </w:p>
    <w:p w14:paraId="6059A66D" w14:textId="77777777" w:rsidR="0030628E" w:rsidRDefault="0030628E" w:rsidP="0030628E">
      <w:pPr>
        <w:numPr>
          <w:ilvl w:val="0"/>
          <w:numId w:val="8"/>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2-2026-015694 del 20 de abril de 2026. </w:t>
      </w:r>
    </w:p>
    <w:p w14:paraId="6A5296E9"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A la fecha de elaboración del presente informe no se ha recibido respuesta oficial por parte del DNP.</w:t>
      </w:r>
    </w:p>
    <w:p w14:paraId="7D745763"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2.2 Reunión técnica adelantada con el DNP</w:t>
      </w:r>
    </w:p>
    <w:p w14:paraId="73495CA2"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El 21 de mayo de 2026 se participó en reunión convocada por el DNP, en la cual se presentaron los principales lineamientos del nuevo esquema RUI.</w:t>
      </w:r>
    </w:p>
    <w:p w14:paraId="6073B3CD" w14:textId="77777777" w:rsidR="0030628E" w:rsidRDefault="0030628E" w:rsidP="0030628E">
      <w:pPr>
        <w:suppressAutoHyphens w:val="0"/>
        <w:spacing w:before="100" w:beforeAutospacing="1" w:after="100" w:afterAutospacing="1" w:line="240" w:lineRule="auto"/>
        <w:jc w:val="both"/>
        <w:outlineLvl w:val="2"/>
        <w:rPr>
          <w:rFonts w:ascii="Work Sans" w:hAnsi="Work Sans" w:cs="Arial"/>
          <w:sz w:val="24"/>
        </w:rPr>
      </w:pPr>
      <w:r>
        <w:rPr>
          <w:rFonts w:ascii="Work Sans" w:hAnsi="Work Sans" w:cs="Arial"/>
          <w:sz w:val="24"/>
        </w:rPr>
        <w:t>Principales conclusiones expuestas por el DNP</w:t>
      </w:r>
    </w:p>
    <w:p w14:paraId="51C5B08A"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RUI reemplazará progresivamente al Sisbén IV como instrumento de focalización. </w:t>
      </w:r>
    </w:p>
    <w:p w14:paraId="28127BA5"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modelo integrará información tributaria, PILA, nómina electrónica y registros administrativos. </w:t>
      </w:r>
    </w:p>
    <w:p w14:paraId="681E36CA"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cobertura esperada es cercana a 54 millones de registros. </w:t>
      </w:r>
    </w:p>
    <w:p w14:paraId="6A28D905"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Se prevén actualizaciones periódicas de información cada 15 días. </w:t>
      </w:r>
    </w:p>
    <w:p w14:paraId="3C1A7566"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La transición iniciaría formalmente en julio de 2026. </w:t>
      </w:r>
    </w:p>
    <w:p w14:paraId="5E16A910"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Cada entidad deberá definir sus propios mecanismos regulatorios de transición. </w:t>
      </w:r>
    </w:p>
    <w:p w14:paraId="2660B0F1"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 xml:space="preserve">El nuevo modelo podría generar reclasificaciones importantes de hogares actualmente ubicados en categorías A y B. </w:t>
      </w:r>
    </w:p>
    <w:p w14:paraId="6670D721" w14:textId="77777777" w:rsidR="0030628E" w:rsidRDefault="0030628E" w:rsidP="0030628E">
      <w:pPr>
        <w:numPr>
          <w:ilvl w:val="0"/>
          <w:numId w:val="9"/>
        </w:num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lastRenderedPageBreak/>
        <w:t xml:space="preserve">El objetivo es focalizar subsidios con base en ingresos reales y no exclusivamente en variables asociadas a vivienda o estratificación. </w:t>
      </w:r>
    </w:p>
    <w:p w14:paraId="11F9F511"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Finalmente, el DNP señaló que las versiones preliminares de la base RUI serán entregadas progresivamente a las entidades para ejercicios de validación interna y preparación operativa.</w:t>
      </w:r>
    </w:p>
    <w:p w14:paraId="3D3B4C1E" w14:textId="77777777" w:rsidR="0030628E" w:rsidRDefault="0030628E" w:rsidP="0030628E">
      <w:pPr>
        <w:suppressAutoHyphens w:val="0"/>
        <w:spacing w:before="100" w:beforeAutospacing="1" w:after="100" w:afterAutospacing="1" w:line="240" w:lineRule="auto"/>
        <w:jc w:val="both"/>
        <w:outlineLvl w:val="1"/>
        <w:rPr>
          <w:rFonts w:ascii="Work Sans" w:hAnsi="Work Sans" w:cs="Arial"/>
          <w:b/>
          <w:bCs/>
          <w:sz w:val="24"/>
        </w:rPr>
      </w:pPr>
      <w:r>
        <w:rPr>
          <w:rFonts w:ascii="Work Sans" w:hAnsi="Work Sans" w:cs="Arial"/>
          <w:b/>
          <w:bCs/>
          <w:sz w:val="24"/>
        </w:rPr>
        <w:t>2.3 Actualización del consumo básico de subsistencia</w:t>
      </w:r>
    </w:p>
    <w:p w14:paraId="26E3E48E" w14:textId="77777777" w:rsidR="0030628E" w:rsidRDefault="0030628E" w:rsidP="0030628E">
      <w:pPr>
        <w:pStyle w:val="Default"/>
        <w:jc w:val="both"/>
        <w:rPr>
          <w:rFonts w:ascii="Work Sans" w:hAnsi="Work Sans" w:cs="Arial"/>
          <w:lang w:val="es-CO"/>
        </w:rPr>
      </w:pPr>
      <w:r>
        <w:rPr>
          <w:rFonts w:ascii="Work Sans" w:hAnsi="Work Sans" w:cs="Arial"/>
          <w:lang w:val="es-CO"/>
        </w:rPr>
        <w:t xml:space="preserve">Respecto del parágrafo segundo del artículo 272, la UPME informó que los estudios técnicos correspondientes fueron desarrollados mediante contrato suscrito con la Unión Temporal USAENE – CORPOEMA. </w:t>
      </w:r>
    </w:p>
    <w:p w14:paraId="0FC3E445" w14:textId="77777777" w:rsidR="0030628E" w:rsidRDefault="0030628E" w:rsidP="0030628E">
      <w:pPr>
        <w:pStyle w:val="Default"/>
        <w:jc w:val="both"/>
        <w:rPr>
          <w:rFonts w:ascii="Work Sans" w:hAnsi="Work Sans" w:cs="Arial"/>
          <w:lang w:val="es-CO"/>
        </w:rPr>
      </w:pPr>
    </w:p>
    <w:p w14:paraId="6918E5E2" w14:textId="77777777" w:rsidR="0030628E" w:rsidRDefault="0030628E" w:rsidP="0030628E">
      <w:pPr>
        <w:pStyle w:val="Default"/>
        <w:jc w:val="both"/>
        <w:rPr>
          <w:rFonts w:ascii="Work Sans" w:hAnsi="Work Sans" w:cs="Arial"/>
          <w:lang w:val="es-CO"/>
        </w:rPr>
      </w:pPr>
      <w:r>
        <w:rPr>
          <w:rFonts w:ascii="Work Sans" w:hAnsi="Work Sans" w:cs="Arial"/>
          <w:lang w:val="es-CO"/>
        </w:rPr>
        <w:t xml:space="preserve">En segundo lugar, para la aplicación del parágrafo 2, la UPME informa mediante radicado 202601600122271 del 2026-05-26  que lo estudios para la modificación del consumo básico de subsistencia se llevaron mediante contrato mencionado anteriormente, y contempló una metodología integral que incluyó, entre otros aspectos, la caracterización de zonas climáticas, el levantamiento de información sobre tenencia y uso de equipos eléctricos, el análisis de consumos en hogares representativos tanto del Sistema Interconectado Nacional (SIN) como de Zonas No Interconectadas (ZNI), así como la estimación del consumo asociado a una canasta eficiente de subsistencia. </w:t>
      </w:r>
    </w:p>
    <w:p w14:paraId="7B37FF7E"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La documentación remitida por la UPME se anexa para conocimiento y análisis institucional correspondiente.</w:t>
      </w:r>
    </w:p>
    <w:p w14:paraId="2E51704C" w14:textId="77777777" w:rsidR="0030628E" w:rsidRDefault="0030628E" w:rsidP="0030628E">
      <w:pPr>
        <w:suppressAutoHyphens w:val="0"/>
        <w:spacing w:before="100" w:beforeAutospacing="1" w:after="100" w:afterAutospacing="1" w:line="240" w:lineRule="auto"/>
        <w:jc w:val="both"/>
        <w:rPr>
          <w:rFonts w:ascii="Work Sans" w:hAnsi="Work Sans" w:cs="Arial"/>
          <w:sz w:val="24"/>
        </w:rPr>
      </w:pPr>
      <w:r>
        <w:rPr>
          <w:rFonts w:ascii="Work Sans" w:hAnsi="Work Sans" w:cs="Arial"/>
          <w:sz w:val="24"/>
        </w:rPr>
        <w:t>Con fundamento en lo anterior, se observa que la implementación integral de las medidas previstas en los parágrafos primero y segundo del artículo 272 de la Ley 2294 de 2023 requiere la culminación de procesos técnicos e institucionales que involucran entidades distintas al Ministerio de Minas y Energía, particularmente en lo relacionado con la consolidación del Registro Universal de Ingresos (RUI) y la adopción de las definiciones técnicas asociadas al consumo básico de subsistencia.</w:t>
      </w:r>
    </w:p>
    <w:p w14:paraId="054DE044" w14:textId="77777777" w:rsidR="0030628E" w:rsidRDefault="0030628E" w:rsidP="0030628E">
      <w:pPr>
        <w:spacing w:line="240" w:lineRule="auto"/>
        <w:ind w:right="51"/>
        <w:contextualSpacing/>
        <w:jc w:val="both"/>
        <w:rPr>
          <w:rFonts w:ascii="Work Sans" w:hAnsi="Work Sans" w:cs="Arial"/>
          <w:sz w:val="24"/>
        </w:rPr>
      </w:pPr>
      <w:r>
        <w:rPr>
          <w:rFonts w:ascii="Work Sans" w:hAnsi="Work Sans" w:cs="Arial"/>
          <w:sz w:val="24"/>
        </w:rPr>
        <w:t>Cordialmente,</w:t>
      </w:r>
    </w:p>
    <w:p w14:paraId="17A13D37" w14:textId="77777777" w:rsidR="0030628E" w:rsidRDefault="0030628E" w:rsidP="0030628E">
      <w:pPr>
        <w:spacing w:line="240" w:lineRule="auto"/>
        <w:ind w:right="51"/>
        <w:contextualSpacing/>
        <w:jc w:val="both"/>
        <w:rPr>
          <w:rFonts w:ascii="Work Sans" w:hAnsi="Work Sans" w:cs="Arial"/>
          <w:sz w:val="24"/>
          <w:highlight w:val="yellow"/>
        </w:rPr>
      </w:pPr>
    </w:p>
    <w:p w14:paraId="22DD1EE3" w14:textId="77777777" w:rsidR="00AF21D9" w:rsidRDefault="00AF21D9" w:rsidP="00AF21D9">
      <w:pPr>
        <w:spacing w:line="240" w:lineRule="auto"/>
        <w:ind w:right="51"/>
        <w:contextualSpacing/>
        <w:jc w:val="both"/>
        <w:rPr>
          <w:rFonts w:ascii="Work Sans" w:hAnsi="Work Sans" w:cs="Arial"/>
          <w:sz w:val="24"/>
          <w:highlight w:val="yellow"/>
        </w:rPr>
      </w:pPr>
      <w:bookmarkStart w:id="0" w:name="_GoBack"/>
      <w:bookmarkEnd w:id="0"/>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shd w:val="clear" w:color="auto" w:fill="auto"/>
          </w:tcPr>
          <w:p w14:paraId="17F6B7B8" w14:textId="77777777" w:rsidR="00AF21D9" w:rsidRDefault="00AF21D9" w:rsidP="00452E77">
            <w:pPr>
              <w:spacing w:after="0"/>
              <w:rPr>
                <w:rFonts w:ascii="Work Sans" w:hAnsi="Work Sans"/>
                <w:sz w:val="24"/>
                <w:szCs w:val="24"/>
              </w:rPr>
            </w:pPr>
            <w:r w:rsidRPr="002B6778">
              <w:rPr>
                <w:rFonts w:ascii="Work Sans" w:hAnsi="Work Sans" w:cs="Arial"/>
                <w:sz w:val="24"/>
              </w:rPr>
              <w:t>Tabla_Firmantes</w:t>
            </w:r>
          </w:p>
        </w:tc>
      </w:tr>
      <w:tr w:rsidR="00AF21D9" w14:paraId="20FB7E56" w14:textId="77777777" w:rsidTr="00452E77">
        <w:tc>
          <w:tcPr>
            <w:tcW w:w="4380" w:type="dxa"/>
            <w:shd w:val="clear" w:color="auto" w:fill="auto"/>
          </w:tcPr>
          <w:p w14:paraId="737EC67B" w14:textId="77777777" w:rsidR="00AF21D9" w:rsidRDefault="00AF21D9" w:rsidP="00452E77">
            <w:pPr>
              <w:spacing w:after="0"/>
              <w:rPr>
                <w:rFonts w:ascii="Work Sans ExtraLight" w:hAnsi="Work Sans ExtraLight"/>
              </w:rPr>
            </w:pPr>
          </w:p>
        </w:tc>
        <w:tc>
          <w:tcPr>
            <w:tcW w:w="4409" w:type="dxa"/>
            <w:shd w:val="clear" w:color="auto" w:fill="auto"/>
          </w:tcPr>
          <w:p w14:paraId="61915F22" w14:textId="77777777" w:rsidR="00AF21D9" w:rsidRDefault="00AF21D9" w:rsidP="00452E77">
            <w:pPr>
              <w:spacing w:after="0"/>
              <w:rPr>
                <w:rFonts w:ascii="Work Sans ExtraLight" w:hAnsi="Work Sans ExtraLight"/>
              </w:rPr>
            </w:pPr>
          </w:p>
        </w:tc>
      </w:tr>
      <w:tr w:rsidR="00AF21D9" w14:paraId="6466065E" w14:textId="77777777" w:rsidTr="00452E77">
        <w:tc>
          <w:tcPr>
            <w:tcW w:w="4380" w:type="dxa"/>
            <w:shd w:val="clear" w:color="auto" w:fill="auto"/>
          </w:tcPr>
          <w:p w14:paraId="6B2A5AB1" w14:textId="77777777" w:rsidR="00AF21D9" w:rsidRDefault="00AF21D9" w:rsidP="00452E77">
            <w:pPr>
              <w:spacing w:after="0"/>
              <w:rPr>
                <w:rFonts w:ascii="Work Sans ExtraLight" w:hAnsi="Work Sans ExtraLight"/>
              </w:rPr>
            </w:pPr>
          </w:p>
        </w:tc>
        <w:tc>
          <w:tcPr>
            <w:tcW w:w="4409" w:type="dxa"/>
            <w:shd w:val="clear" w:color="auto" w:fill="auto"/>
          </w:tcPr>
          <w:p w14:paraId="52E63402" w14:textId="77777777" w:rsidR="00AF21D9" w:rsidRDefault="00AF21D9" w:rsidP="00452E77">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r>
        <w:rPr>
          <w:rFonts w:ascii="Work Sans" w:hAnsi="Work Sans"/>
          <w:sz w:val="16"/>
          <w:szCs w:val="16"/>
        </w:rPr>
        <w:t>ley_texto</w:t>
      </w:r>
    </w:p>
    <w:p w14:paraId="1787BBD9" w14:textId="77777777" w:rsidR="00AF21D9" w:rsidRDefault="00AF21D9" w:rsidP="00AF21D9">
      <w:pPr>
        <w:spacing w:after="0"/>
        <w:rPr>
          <w:rFonts w:ascii="Work Sans" w:eastAsia="Times New Roman" w:hAnsi="Work Sans" w:cs="Times New Roman"/>
          <w:spacing w:val="-3"/>
          <w:sz w:val="16"/>
          <w:szCs w:val="16"/>
          <w:lang w:val="es-ES_tradnl" w:eastAsia="es-ES"/>
        </w:rPr>
      </w:pPr>
      <w:r>
        <w:rPr>
          <w:rFonts w:ascii="Work Sans" w:eastAsia="Times New Roman" w:hAnsi="Work Sans" w:cs="Times New Roman"/>
          <w:spacing w:val="-3"/>
          <w:sz w:val="16"/>
          <w:szCs w:val="16"/>
          <w:lang w:val="es-ES_tradnl" w:eastAsia="es-ES"/>
        </w:rPr>
        <w:t>rad_padre</w:t>
      </w:r>
    </w:p>
    <w:p w14:paraId="4D3E2D14" w14:textId="77777777" w:rsidR="00AF21D9" w:rsidRDefault="00AF21D9" w:rsidP="00AF21D9">
      <w:pPr>
        <w:spacing w:after="0"/>
        <w:rPr>
          <w:rFonts w:ascii="Work Sans" w:hAnsi="Work Sans"/>
          <w:sz w:val="16"/>
          <w:szCs w:val="16"/>
        </w:rPr>
      </w:pPr>
      <w:r>
        <w:rPr>
          <w:rFonts w:ascii="Work Sans" w:hAnsi="Work Sans"/>
          <w:sz w:val="16"/>
          <w:szCs w:val="16"/>
        </w:rPr>
        <w:t>anexo_r</w:t>
      </w:r>
    </w:p>
    <w:p w14:paraId="65542969" w14:textId="77777777" w:rsidR="00AF21D9" w:rsidRDefault="00AF21D9" w:rsidP="00AF21D9">
      <w:pPr>
        <w:spacing w:after="0"/>
        <w:rPr>
          <w:rFonts w:ascii="Work Sans" w:hAnsi="Work Sans"/>
          <w:sz w:val="16"/>
          <w:szCs w:val="16"/>
        </w:rPr>
      </w:pPr>
      <w:r>
        <w:rPr>
          <w:rFonts w:ascii="Work Sans" w:hAnsi="Work Sans"/>
          <w:sz w:val="16"/>
          <w:szCs w:val="16"/>
        </w:rPr>
        <w:t xml:space="preserve">copias_r </w:t>
      </w:r>
    </w:p>
    <w:p w14:paraId="551E62EE" w14:textId="68C5967B" w:rsidR="00C04679" w:rsidRPr="00AF21D9" w:rsidRDefault="00AF21D9" w:rsidP="00AF21D9">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Reviso: res_reviso</w:t>
      </w:r>
      <w:r>
        <w:rPr>
          <w:rFonts w:ascii="Work Sans" w:hAnsi="Work Sans"/>
          <w:sz w:val="16"/>
          <w:szCs w:val="16"/>
        </w:rPr>
        <w:br/>
        <w:t>Aprobó: res_aprobacion</w:t>
      </w:r>
    </w:p>
    <w:sectPr w:rsidR="00C04679" w:rsidRPr="00AF21D9" w:rsidSect="0023586F">
      <w:headerReference w:type="default" r:id="rId7"/>
      <w:footerReference w:type="default" r:id="rId8"/>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E232F" w14:textId="77777777" w:rsidR="00E572A0" w:rsidRDefault="00E572A0">
      <w:pPr>
        <w:spacing w:after="0" w:line="240" w:lineRule="auto"/>
      </w:pPr>
      <w:r>
        <w:separator/>
      </w:r>
    </w:p>
  </w:endnote>
  <w:endnote w:type="continuationSeparator" w:id="0">
    <w:p w14:paraId="20D97B5D" w14:textId="77777777" w:rsidR="00E572A0" w:rsidRDefault="00E57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ork Sans">
    <w:altName w:val="Courier New"/>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lang w:val="en-US"/>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3532C" w14:textId="77777777" w:rsidR="00E572A0" w:rsidRDefault="00E572A0">
      <w:pPr>
        <w:spacing w:after="0" w:line="240" w:lineRule="auto"/>
      </w:pPr>
      <w:r>
        <w:separator/>
      </w:r>
    </w:p>
  </w:footnote>
  <w:footnote w:type="continuationSeparator" w:id="0">
    <w:p w14:paraId="5C599BE8" w14:textId="77777777" w:rsidR="00E572A0" w:rsidRDefault="00E57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7712433"/>
      <w:docPartObj>
        <w:docPartGallery w:val="Page Numbers (Top of Page)"/>
        <w:docPartUnique/>
      </w:docPartObj>
    </w:sdtPr>
    <w:sdtEndPr/>
    <w:sdtContent>
      <w:p w14:paraId="6D49CADF" w14:textId="299BF8CF" w:rsidR="00D33464" w:rsidRDefault="00183F06">
        <w:pPr>
          <w:pStyle w:val="Encabezado"/>
          <w:jc w:val="right"/>
        </w:pPr>
        <w:r>
          <w:rPr>
            <w:noProof/>
            <w:lang w:val="en-US"/>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10FA16E9"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30628E">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30628E">
          <w:rPr>
            <w:rFonts w:ascii="Work Sans" w:hAnsi="Work Sans" w:cs="Arial"/>
            <w:b/>
            <w:bCs/>
            <w:noProof/>
            <w:sz w:val="18"/>
            <w:szCs w:val="24"/>
          </w:rPr>
          <w:t>9</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E0763"/>
    <w:multiLevelType w:val="multilevel"/>
    <w:tmpl w:val="29D09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24494"/>
    <w:multiLevelType w:val="multilevel"/>
    <w:tmpl w:val="547E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B774F"/>
    <w:multiLevelType w:val="multilevel"/>
    <w:tmpl w:val="A3BCE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127C21"/>
    <w:multiLevelType w:val="multilevel"/>
    <w:tmpl w:val="A6023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7F3837"/>
    <w:multiLevelType w:val="multilevel"/>
    <w:tmpl w:val="A85C4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EE5CBA"/>
    <w:multiLevelType w:val="multilevel"/>
    <w:tmpl w:val="1AD24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BD31CA"/>
    <w:multiLevelType w:val="multilevel"/>
    <w:tmpl w:val="9C3EA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8B53B3"/>
    <w:multiLevelType w:val="multilevel"/>
    <w:tmpl w:val="91607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8268A"/>
    <w:multiLevelType w:val="multilevel"/>
    <w:tmpl w:val="4692E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7"/>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 w:numId="8">
    <w:abstractNumId w:val="5"/>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679"/>
    <w:rsid w:val="00022053"/>
    <w:rsid w:val="000418C8"/>
    <w:rsid w:val="00046D1C"/>
    <w:rsid w:val="000E59F0"/>
    <w:rsid w:val="001358EB"/>
    <w:rsid w:val="00183F06"/>
    <w:rsid w:val="00202A17"/>
    <w:rsid w:val="0023586F"/>
    <w:rsid w:val="0026480C"/>
    <w:rsid w:val="002757D9"/>
    <w:rsid w:val="002B6778"/>
    <w:rsid w:val="002E601B"/>
    <w:rsid w:val="0030628E"/>
    <w:rsid w:val="003C6CA7"/>
    <w:rsid w:val="003D64EF"/>
    <w:rsid w:val="00454A6E"/>
    <w:rsid w:val="00485628"/>
    <w:rsid w:val="004E340F"/>
    <w:rsid w:val="005061BF"/>
    <w:rsid w:val="005A358A"/>
    <w:rsid w:val="005A7424"/>
    <w:rsid w:val="00713CBD"/>
    <w:rsid w:val="007560EA"/>
    <w:rsid w:val="008017F8"/>
    <w:rsid w:val="00814311"/>
    <w:rsid w:val="00865C91"/>
    <w:rsid w:val="009B5409"/>
    <w:rsid w:val="009E5228"/>
    <w:rsid w:val="00A32F93"/>
    <w:rsid w:val="00A82C6D"/>
    <w:rsid w:val="00AA1D97"/>
    <w:rsid w:val="00AC4E5E"/>
    <w:rsid w:val="00AD43C1"/>
    <w:rsid w:val="00AE1879"/>
    <w:rsid w:val="00AF21D9"/>
    <w:rsid w:val="00B12ABD"/>
    <w:rsid w:val="00BC7B64"/>
    <w:rsid w:val="00C04679"/>
    <w:rsid w:val="00D33464"/>
    <w:rsid w:val="00D95FE5"/>
    <w:rsid w:val="00E113E2"/>
    <w:rsid w:val="00E572A0"/>
    <w:rsid w:val="00F758D2"/>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Default">
    <w:name w:val="Default"/>
    <w:rsid w:val="0030628E"/>
    <w:pPr>
      <w:suppressAutoHyphens w:val="0"/>
      <w:autoSpaceDE w:val="0"/>
      <w:autoSpaceDN w:val="0"/>
      <w:adjustRightInd w:val="0"/>
    </w:pPr>
    <w:rPr>
      <w:rFonts w:ascii="Verdana" w:hAnsi="Verdana" w:cs="Verdan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886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2024</Words>
  <Characters>11543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sandra milena arias</cp:lastModifiedBy>
  <cp:revision>2</cp:revision>
  <dcterms:created xsi:type="dcterms:W3CDTF">2026-06-04T22:54:00Z</dcterms:created>
  <dcterms:modified xsi:type="dcterms:W3CDTF">2026-06-04T22:54:00Z</dcterms:modified>
  <dc:language>es-CO</dc:language>
</cp:coreProperties>
</file>